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9A328" w14:textId="77777777" w:rsidR="00F6115B" w:rsidRPr="00F6115B" w:rsidRDefault="00F6115B" w:rsidP="00F6115B">
      <w:pPr>
        <w:spacing w:after="600" w:line="58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611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Перечень актуальных нормативных документов</w:t>
      </w:r>
    </w:p>
    <w:p w14:paraId="4EF4FDFC" w14:textId="44DE46BA" w:rsidR="00F6115B" w:rsidRPr="00F6115B" w:rsidRDefault="00F6115B" w:rsidP="00F6115B">
      <w:pPr>
        <w:pStyle w:val="a4"/>
        <w:numPr>
          <w:ilvl w:val="0"/>
          <w:numId w:val="1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Федеральный закон от 26.03.2003 №35-Ф3</w:t>
      </w:r>
    </w:p>
    <w:p w14:paraId="27C09F30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электроэнергетике»</w:t>
      </w:r>
    </w:p>
    <w:p w14:paraId="23A7CAD5" w14:textId="327EB4CE" w:rsidR="00F6115B" w:rsidRPr="00F6115B" w:rsidRDefault="00F6115B" w:rsidP="00F6115B">
      <w:pPr>
        <w:pStyle w:val="a4"/>
        <w:numPr>
          <w:ilvl w:val="0"/>
          <w:numId w:val="3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РФ от 27.12.2004 № 861</w:t>
      </w:r>
    </w:p>
    <w:p w14:paraId="771D1169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</w:t>
      </w:r>
    </w:p>
    <w:p w14:paraId="3131E6A7" w14:textId="448BAED3" w:rsidR="00F6115B" w:rsidRPr="00F6115B" w:rsidRDefault="00F6115B" w:rsidP="00F6115B">
      <w:pPr>
        <w:pStyle w:val="a4"/>
        <w:numPr>
          <w:ilvl w:val="0"/>
          <w:numId w:val="5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Российской Федерации от 04.05.2012 № 442</w:t>
      </w:r>
    </w:p>
    <w:p w14:paraId="626A51BC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 функционировании розничных рынков электрической энергии, полном и (или) частичном ограничении режима потребления электрической энергии»</w:t>
      </w:r>
    </w:p>
    <w:p w14:paraId="23CE7490" w14:textId="68B60BF1" w:rsidR="00F6115B" w:rsidRPr="00F6115B" w:rsidRDefault="00F6115B" w:rsidP="00F6115B">
      <w:pPr>
        <w:pStyle w:val="a4"/>
        <w:numPr>
          <w:ilvl w:val="0"/>
          <w:numId w:val="7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Российской Федерации от 09.01.2009 №14</w:t>
      </w:r>
    </w:p>
    <w:p w14:paraId="425A74EE" w14:textId="25A13F0D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Правил урегулирования споров, связанных с установлением и</w:t>
      </w:r>
      <w:r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 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применением платы за технологическое присоединение и (или) тарифных ставок, установленных органами государственного регулирования цен (тарифов) для определения величины такой платы (стандартизированных тарифных ставок)»</w:t>
      </w:r>
    </w:p>
    <w:p w14:paraId="2344A647" w14:textId="32557E26" w:rsidR="00F6115B" w:rsidRPr="00F6115B" w:rsidRDefault="00F6115B" w:rsidP="00F6115B">
      <w:pPr>
        <w:pStyle w:val="a4"/>
        <w:numPr>
          <w:ilvl w:val="0"/>
          <w:numId w:val="9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Федеральный закон от 02.05.2006 № 59-ФЗ</w:t>
      </w:r>
    </w:p>
    <w:p w14:paraId="1BABC724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 порядке рассмотрения обращений граждан Российской Федерации»</w:t>
      </w:r>
    </w:p>
    <w:p w14:paraId="28035F49" w14:textId="358A3FC0" w:rsidR="00F6115B" w:rsidRPr="00F6115B" w:rsidRDefault="00F6115B" w:rsidP="00F6115B">
      <w:pPr>
        <w:pStyle w:val="a4"/>
        <w:numPr>
          <w:ilvl w:val="0"/>
          <w:numId w:val="11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Российской Федерации от 05.11.2003 №674</w:t>
      </w:r>
    </w:p>
    <w:p w14:paraId="246B37A2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 порядке рассмотрения разногласий, возникающих между органами исполнительной власти субъектов Российской Федерации в области государственного регулирования тарифов, организациями, осуществляющими регулируемые виды деятельности, и потребителями»</w:t>
      </w:r>
    </w:p>
    <w:p w14:paraId="4041F999" w14:textId="2152CEBF" w:rsidR="00F6115B" w:rsidRPr="00F6115B" w:rsidRDefault="00F6115B" w:rsidP="00F6115B">
      <w:pPr>
        <w:pStyle w:val="a4"/>
        <w:numPr>
          <w:ilvl w:val="0"/>
          <w:numId w:val="13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Федеральный закон от 27.07.2006 № 152-ФЗ</w:t>
      </w:r>
    </w:p>
    <w:p w14:paraId="3E1141D1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 персональных данных»</w:t>
      </w:r>
    </w:p>
    <w:p w14:paraId="3716C398" w14:textId="737B3E8D" w:rsidR="00F6115B" w:rsidRPr="00F6115B" w:rsidRDefault="00F6115B" w:rsidP="00F6115B">
      <w:pPr>
        <w:pStyle w:val="a4"/>
        <w:numPr>
          <w:ilvl w:val="0"/>
          <w:numId w:val="15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Российской Федерации от 01.12.2009 №977</w:t>
      </w:r>
    </w:p>
    <w:p w14:paraId="7F5A81CB" w14:textId="4489C0BC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Об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инвестиционных программах субъектов электроэнергетики</w:t>
      </w:r>
      <w:r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»</w:t>
      </w:r>
    </w:p>
    <w:p w14:paraId="4E32584F" w14:textId="42749AA8" w:rsidR="00F6115B" w:rsidRPr="00F6115B" w:rsidRDefault="00F6115B" w:rsidP="00F6115B">
      <w:pPr>
        <w:pStyle w:val="a4"/>
        <w:numPr>
          <w:ilvl w:val="0"/>
          <w:numId w:val="17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lastRenderedPageBreak/>
        <w:t>Земельный кодекс Российской Федерации, Статья 89 «Земли энергетики» от 25.10.2001 №</w:t>
      </w:r>
      <w:r>
        <w:t> 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136-ФЗ</w:t>
      </w:r>
    </w:p>
    <w:p w14:paraId="7C72A96F" w14:textId="40492B0B" w:rsidR="00F6115B" w:rsidRPr="00F6115B" w:rsidRDefault="00F6115B" w:rsidP="00F6115B">
      <w:pPr>
        <w:pStyle w:val="a4"/>
        <w:numPr>
          <w:ilvl w:val="0"/>
          <w:numId w:val="19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Российской Федерации от 11.08.2003 №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486</w:t>
      </w:r>
    </w:p>
    <w:p w14:paraId="55DB0640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Правил определения размеров земельных участков для размещения воздушных линий электропередачи и опор линий связи, обслуживающих электрические сети»</w:t>
      </w:r>
    </w:p>
    <w:p w14:paraId="4E8BBA10" w14:textId="13799087" w:rsidR="00F6115B" w:rsidRPr="00F6115B" w:rsidRDefault="00F6115B" w:rsidP="00F6115B">
      <w:pPr>
        <w:pStyle w:val="a4"/>
        <w:numPr>
          <w:ilvl w:val="0"/>
          <w:numId w:val="21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РФ от 27 июня 2013 г. №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543</w:t>
      </w:r>
    </w:p>
    <w:p w14:paraId="616DD878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</w:t>
      </w:r>
    </w:p>
    <w:p w14:paraId="4E165992" w14:textId="3E5489A8" w:rsidR="00F6115B" w:rsidRPr="00F6115B" w:rsidRDefault="00F6115B" w:rsidP="00F6115B">
      <w:pPr>
        <w:pStyle w:val="a4"/>
        <w:numPr>
          <w:ilvl w:val="0"/>
          <w:numId w:val="23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Приказ Минпромэнерго России от 30.04.2008 №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216</w:t>
      </w:r>
    </w:p>
    <w:p w14:paraId="4A77180C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Методических рекомендаций по определению предварительных параметров выдачи мощности строящихся (реконструируемых) генерирующих объектов в условиях нормальных режимов функционирования энергосистемы, учитываемых при определении платы за технологическое присоединение таких генерирующих объектов к объектам электросетевого хозяйства»</w:t>
      </w:r>
    </w:p>
    <w:p w14:paraId="55E24E50" w14:textId="00FA019F" w:rsidR="00F6115B" w:rsidRPr="00F6115B" w:rsidRDefault="00F6115B" w:rsidP="00F6115B">
      <w:pPr>
        <w:pStyle w:val="a4"/>
        <w:numPr>
          <w:ilvl w:val="0"/>
          <w:numId w:val="25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РФ от 31.12.2009 № 1220</w:t>
      </w:r>
    </w:p>
    <w:p w14:paraId="65E3379D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определении применяемых при установлении долгосрочных тарифов показателей надежности и качества поставляемых товаров и оказываемых услуг»</w:t>
      </w:r>
    </w:p>
    <w:p w14:paraId="58D97918" w14:textId="6D72D462" w:rsidR="00F6115B" w:rsidRPr="00F6115B" w:rsidRDefault="00F6115B" w:rsidP="00F6115B">
      <w:pPr>
        <w:pStyle w:val="a4"/>
        <w:numPr>
          <w:ilvl w:val="0"/>
          <w:numId w:val="27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Приказ Минэнерго России от 14 октября 2013 г. N 718</w:t>
      </w:r>
    </w:p>
    <w:p w14:paraId="2A077F9D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Порядка организации работ по выдаче разрешений на допуск в эксплуатацию энергоустановок»</w:t>
      </w:r>
    </w:p>
    <w:p w14:paraId="7CB7611B" w14:textId="3B799011" w:rsidR="00F6115B" w:rsidRPr="00F6115B" w:rsidRDefault="00F6115B" w:rsidP="00F6115B">
      <w:pPr>
        <w:pStyle w:val="a4"/>
        <w:numPr>
          <w:ilvl w:val="0"/>
          <w:numId w:val="29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Приказ Ростехнадзора от 07.04.2008 №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212</w:t>
      </w:r>
    </w:p>
    <w:p w14:paraId="2215360E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Порядка организации работ по выдаче разрешений на допуск в эксплуатацию энергоустановок»</w:t>
      </w:r>
    </w:p>
    <w:p w14:paraId="22C78AA2" w14:textId="77BECF50" w:rsidR="00F6115B" w:rsidRPr="00F6115B" w:rsidRDefault="00F6115B" w:rsidP="00F6115B">
      <w:pPr>
        <w:pStyle w:val="a4"/>
        <w:numPr>
          <w:ilvl w:val="0"/>
          <w:numId w:val="31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Письмо Ростехнадзора от 15.07.2008 №КП-24/756</w:t>
      </w:r>
    </w:p>
    <w:p w14:paraId="5C1E30A2" w14:textId="523BAB52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«О 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применении </w:t>
      </w:r>
      <w:r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Порядка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организации работ по выдаче разрешений на допуск в эксплуатацию энергоустановок»</w:t>
      </w:r>
    </w:p>
    <w:p w14:paraId="0D3C9125" w14:textId="675E291A" w:rsidR="00F6115B" w:rsidRPr="00F6115B" w:rsidRDefault="00F6115B" w:rsidP="00F6115B">
      <w:pPr>
        <w:pStyle w:val="a4"/>
        <w:numPr>
          <w:ilvl w:val="0"/>
          <w:numId w:val="32"/>
        </w:num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СП 31-110-2003</w:t>
      </w:r>
    </w:p>
    <w:p w14:paraId="6798E732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«Проектирование и монтаж электроустановок жилых и общественных зданий» (одобрен постановлением Госстроя России от 26.11.2003 №194)</w:t>
      </w:r>
    </w:p>
    <w:p w14:paraId="0B133847" w14:textId="095CD39A" w:rsidR="00F6115B" w:rsidRPr="00F6115B" w:rsidRDefault="00F6115B" w:rsidP="00F6115B">
      <w:pPr>
        <w:pStyle w:val="a4"/>
        <w:numPr>
          <w:ilvl w:val="1"/>
          <w:numId w:val="34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lastRenderedPageBreak/>
        <w:t xml:space="preserve">«Инструкция о порядке согласования применения </w:t>
      </w:r>
      <w:proofErr w:type="spellStart"/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электрокотлов</w:t>
      </w:r>
      <w:proofErr w:type="spellEnd"/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и других электронагревательных приборов»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(утв. Минтопэнерго России 24.11.1992)</w:t>
      </w:r>
    </w:p>
    <w:p w14:paraId="7B62B290" w14:textId="3BAC4EB0" w:rsidR="00F6115B" w:rsidRPr="00F6115B" w:rsidRDefault="00F6115B" w:rsidP="00F6115B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Приказ Минэнерго России от 30.06.2003 №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</w:t>
      </w: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280</w:t>
      </w:r>
    </w:p>
    <w:p w14:paraId="1469360D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Инструкции по устройству молниезащиты зданий, сооружений и промышленных коммуникаций»</w:t>
      </w:r>
    </w:p>
    <w:p w14:paraId="234B4E64" w14:textId="4EE2691B" w:rsidR="00F6115B" w:rsidRPr="00F6115B" w:rsidRDefault="00F6115B" w:rsidP="00F6115B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Российской Федерации от 29.12.2011 № 1178</w:t>
      </w:r>
    </w:p>
    <w:p w14:paraId="1B0B189D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 ценообразовании в области регулируемых цен (тарифов) в электроэнергетике»</w:t>
      </w:r>
    </w:p>
    <w:p w14:paraId="13BC010D" w14:textId="17AAAE4F" w:rsidR="00F6115B" w:rsidRPr="00F6115B" w:rsidRDefault="00F6115B" w:rsidP="00F6115B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Приказ ФСТ России от 11.09.2012 № 209-э/1</w:t>
      </w:r>
    </w:p>
    <w:p w14:paraId="2E81042D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Методических указаний по определению размера платы за технологическое присоединение к электрическим сетям»</w:t>
      </w:r>
    </w:p>
    <w:p w14:paraId="2689EB85" w14:textId="72A78029" w:rsidR="00F6115B" w:rsidRPr="00F6115B" w:rsidRDefault="00F6115B" w:rsidP="00F6115B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Приказ ФСТ РФ от 12.12.2011 № 795-э</w:t>
      </w:r>
    </w:p>
    <w:p w14:paraId="141D1780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Административного регламента предоставления Федеральной службой по тарифам государственной услуги по рассмотрению разногласий, возникающих между органами исполнительной власти субъектов Российской Федерации в области государственного регулирования тарифов, органами местного самоуправления поселений, городских округов, организациями, осуществляющими регулируемые виды деятельности, и потребителями, и принятию решений , обязательных для исполнения».</w:t>
      </w:r>
    </w:p>
    <w:p w14:paraId="3B1B363C" w14:textId="074D6A6B" w:rsidR="00F6115B" w:rsidRPr="00F6115B" w:rsidRDefault="00F6115B" w:rsidP="00F6115B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Постановление Правительства Российской Федерации от 21.01.2004 № 24</w:t>
      </w:r>
    </w:p>
    <w:p w14:paraId="1DFC6022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стандартов раскрытия информации субъектами оптового и розничных рынков электрической энергии»</w:t>
      </w:r>
    </w:p>
    <w:p w14:paraId="7600C500" w14:textId="54D2BABE" w:rsidR="00F6115B" w:rsidRPr="00F6115B" w:rsidRDefault="00F6115B" w:rsidP="00F6115B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Кодекс Российской Федерации об административных правонарушениях, от 30 декабря 2001 № 195-ФЗ</w:t>
      </w:r>
    </w:p>
    <w:p w14:paraId="16928A3D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Статья 19.8.1 «Непредоставление сведений или предоставление заведомо ложных сведений о своей деятельности субъектами естественных монополий и (или) организациями коммунального комплекса» (введена Федеральным законом от 25.12.2008 № 281-ФЗ)</w:t>
      </w:r>
    </w:p>
    <w:p w14:paraId="0ECDF5BE" w14:textId="1A463CA7" w:rsidR="00F6115B" w:rsidRPr="00F6115B" w:rsidRDefault="00F6115B" w:rsidP="00797F22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Распоряжение Правительства Российской Федерации N 1144-р (от 30 июня 2012 г.)</w:t>
      </w:r>
    </w:p>
    <w:p w14:paraId="0E593A9D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ПЛАН МЕРОПРИЯТИЙ («ДОРОЖНАЯ КАРТА») «ПОВЫШЕНИЕ ДОСТУПНОСТИ ЭНЕРГЕТИЧЕСКОЙ ИНФРАСТРУКТУРЫ»</w:t>
      </w:r>
    </w:p>
    <w:p w14:paraId="102A628B" w14:textId="1FF19834" w:rsidR="00F6115B" w:rsidRPr="00797F22" w:rsidRDefault="00F6115B" w:rsidP="00797F22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797F22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Федеральный закон от 23.11.2009 № 261-ФЗ</w:t>
      </w:r>
    </w:p>
    <w:p w14:paraId="4513293D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«Об энергосбережении и о повышении </w:t>
      </w:r>
      <w:proofErr w:type="gramStart"/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энергетической эффективности</w:t>
      </w:r>
      <w:proofErr w:type="gramEnd"/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 xml:space="preserve"> и о внесении изменений в отдельные законодательные акты российской федерации».</w:t>
      </w:r>
    </w:p>
    <w:p w14:paraId="0B21F296" w14:textId="79C8F771" w:rsidR="00F6115B" w:rsidRPr="00797F22" w:rsidRDefault="00F6115B" w:rsidP="00797F22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797F22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Федеральный закон от 29.12.2004 № 190-ФЗ</w:t>
      </w:r>
    </w:p>
    <w:p w14:paraId="30642DC6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«Градостроительный кодекс Российской Федерации»</w:t>
      </w:r>
    </w:p>
    <w:p w14:paraId="0E3CD123" w14:textId="124E4EB4" w:rsidR="00F6115B" w:rsidRPr="00797F22" w:rsidRDefault="00F6115B" w:rsidP="00797F22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797F22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lastRenderedPageBreak/>
        <w:t>Постановление Правительства РФ от 24.02.2009 № 160</w:t>
      </w:r>
    </w:p>
    <w:p w14:paraId="4E2FD4C6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</w:p>
    <w:p w14:paraId="1C029E74" w14:textId="5FAE5ACE" w:rsidR="00F6115B" w:rsidRPr="00797F22" w:rsidRDefault="00F6115B" w:rsidP="00797F22">
      <w:pPr>
        <w:pStyle w:val="a4"/>
        <w:numPr>
          <w:ilvl w:val="1"/>
          <w:numId w:val="35"/>
        </w:numPr>
        <w:spacing w:before="150"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797F22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Приказ Минэнерго РФ от 13.01.2003 № 6</w:t>
      </w:r>
    </w:p>
    <w:p w14:paraId="2B85788C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Правил технической эксплуатации электроустановок потребителей»</w:t>
      </w:r>
    </w:p>
    <w:p w14:paraId="3A6E5360" w14:textId="54B1E06F" w:rsidR="00F6115B" w:rsidRPr="00797F22" w:rsidRDefault="00F6115B" w:rsidP="00797F22">
      <w:pPr>
        <w:pStyle w:val="a4"/>
        <w:numPr>
          <w:ilvl w:val="1"/>
          <w:numId w:val="35"/>
        </w:numPr>
        <w:spacing w:before="150" w:after="150" w:line="360" w:lineRule="atLeast"/>
        <w:ind w:left="-142" w:firstLine="568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797F22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«Правила устройства электроустановок (ПУЭ)»</w:t>
      </w:r>
    </w:p>
    <w:p w14:paraId="35814C6A" w14:textId="68F445CF" w:rsidR="00F6115B" w:rsidRPr="00797F22" w:rsidRDefault="00F6115B" w:rsidP="00797F22">
      <w:pPr>
        <w:pStyle w:val="a4"/>
        <w:numPr>
          <w:ilvl w:val="1"/>
          <w:numId w:val="35"/>
        </w:numPr>
        <w:spacing w:before="150" w:after="150" w:line="360" w:lineRule="atLeast"/>
        <w:ind w:left="-142" w:firstLine="568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797F22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Приказ Министерства труда и социальной защиты РФ от 24 июля 2013 г. № 328н</w:t>
      </w:r>
    </w:p>
    <w:p w14:paraId="3C5D3D60" w14:textId="77777777" w:rsidR="00F6115B" w:rsidRPr="00F6115B" w:rsidRDefault="00F6115B" w:rsidP="00F6115B">
      <w:pPr>
        <w:spacing w:before="150" w:after="150" w:line="360" w:lineRule="atLeast"/>
        <w:jc w:val="both"/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</w:pPr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«Об утверждении Правил по охране труда при э</w:t>
      </w:r>
      <w:bookmarkStart w:id="0" w:name="_GoBack"/>
      <w:bookmarkEnd w:id="0"/>
      <w:r w:rsidRPr="00F6115B">
        <w:rPr>
          <w:rFonts w:ascii="Times New Roman" w:eastAsia="Times New Roman" w:hAnsi="Times New Roman" w:cs="Times New Roman"/>
          <w:color w:val="2A3F50"/>
          <w:sz w:val="24"/>
          <w:szCs w:val="24"/>
          <w:lang w:eastAsia="ru-RU"/>
        </w:rPr>
        <w:t>ксплуатации электроустановок»</w:t>
      </w:r>
    </w:p>
    <w:p w14:paraId="421F6571" w14:textId="77777777" w:rsidR="009D5710" w:rsidRPr="00F6115B" w:rsidRDefault="009D5710" w:rsidP="00F6115B">
      <w:pPr>
        <w:jc w:val="both"/>
        <w:rPr>
          <w:rFonts w:ascii="Times New Roman" w:hAnsi="Times New Roman" w:cs="Times New Roman"/>
        </w:rPr>
      </w:pPr>
    </w:p>
    <w:sectPr w:rsidR="009D5710" w:rsidRPr="00F6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E67"/>
    <w:multiLevelType w:val="hybridMultilevel"/>
    <w:tmpl w:val="0546D040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7B7C"/>
    <w:multiLevelType w:val="hybridMultilevel"/>
    <w:tmpl w:val="9F061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794C"/>
    <w:multiLevelType w:val="hybridMultilevel"/>
    <w:tmpl w:val="6EA2C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72A7E"/>
    <w:multiLevelType w:val="hybridMultilevel"/>
    <w:tmpl w:val="9C1A4214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0E5D44ED"/>
    <w:multiLevelType w:val="hybridMultilevel"/>
    <w:tmpl w:val="B0A661EA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C7777"/>
    <w:multiLevelType w:val="hybridMultilevel"/>
    <w:tmpl w:val="0B9244B0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02235"/>
    <w:multiLevelType w:val="hybridMultilevel"/>
    <w:tmpl w:val="18001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C42B0"/>
    <w:multiLevelType w:val="hybridMultilevel"/>
    <w:tmpl w:val="4AFE5FF2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415B8"/>
    <w:multiLevelType w:val="hybridMultilevel"/>
    <w:tmpl w:val="CAEAF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556E8"/>
    <w:multiLevelType w:val="hybridMultilevel"/>
    <w:tmpl w:val="F796BB3E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79F"/>
    <w:multiLevelType w:val="hybridMultilevel"/>
    <w:tmpl w:val="5476A9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B6B6D"/>
    <w:multiLevelType w:val="hybridMultilevel"/>
    <w:tmpl w:val="41E20046"/>
    <w:lvl w:ilvl="0" w:tplc="F0C2D8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C5EE9"/>
    <w:multiLevelType w:val="hybridMultilevel"/>
    <w:tmpl w:val="C6925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B319A"/>
    <w:multiLevelType w:val="hybridMultilevel"/>
    <w:tmpl w:val="2DC0753C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978AC"/>
    <w:multiLevelType w:val="hybridMultilevel"/>
    <w:tmpl w:val="583AFBEA"/>
    <w:lvl w:ilvl="0" w:tplc="844AABC6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53760F1"/>
    <w:multiLevelType w:val="hybridMultilevel"/>
    <w:tmpl w:val="925A30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44AABC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72A0A"/>
    <w:multiLevelType w:val="hybridMultilevel"/>
    <w:tmpl w:val="0AA6E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3D5CD3"/>
    <w:multiLevelType w:val="hybridMultilevel"/>
    <w:tmpl w:val="AAA891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3F365E"/>
    <w:multiLevelType w:val="hybridMultilevel"/>
    <w:tmpl w:val="BF4655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079BC"/>
    <w:multiLevelType w:val="hybridMultilevel"/>
    <w:tmpl w:val="CDA27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F41773"/>
    <w:multiLevelType w:val="hybridMultilevel"/>
    <w:tmpl w:val="917A8E6E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E87D89"/>
    <w:multiLevelType w:val="hybridMultilevel"/>
    <w:tmpl w:val="91200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95557"/>
    <w:multiLevelType w:val="hybridMultilevel"/>
    <w:tmpl w:val="7BB43CBE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E5583"/>
    <w:multiLevelType w:val="hybridMultilevel"/>
    <w:tmpl w:val="60EA53E6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25CA3"/>
    <w:multiLevelType w:val="hybridMultilevel"/>
    <w:tmpl w:val="2DA2E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819ED"/>
    <w:multiLevelType w:val="hybridMultilevel"/>
    <w:tmpl w:val="AA5AD44C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EA73F0"/>
    <w:multiLevelType w:val="hybridMultilevel"/>
    <w:tmpl w:val="0BC27ED8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BF1CC4"/>
    <w:multiLevelType w:val="hybridMultilevel"/>
    <w:tmpl w:val="7F847E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12AFF"/>
    <w:multiLevelType w:val="hybridMultilevel"/>
    <w:tmpl w:val="4DDC4886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6D6EC6"/>
    <w:multiLevelType w:val="hybridMultilevel"/>
    <w:tmpl w:val="D80AB9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42A09"/>
    <w:multiLevelType w:val="hybridMultilevel"/>
    <w:tmpl w:val="80E66B8A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873FF1"/>
    <w:multiLevelType w:val="hybridMultilevel"/>
    <w:tmpl w:val="80A80C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912E0"/>
    <w:multiLevelType w:val="hybridMultilevel"/>
    <w:tmpl w:val="F314F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228F2"/>
    <w:multiLevelType w:val="hybridMultilevel"/>
    <w:tmpl w:val="2FD8D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A713C"/>
    <w:multiLevelType w:val="hybridMultilevel"/>
    <w:tmpl w:val="17AA38C4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84FC9"/>
    <w:multiLevelType w:val="hybridMultilevel"/>
    <w:tmpl w:val="18FCC5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442A7"/>
    <w:multiLevelType w:val="hybridMultilevel"/>
    <w:tmpl w:val="647C77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496ED7"/>
    <w:multiLevelType w:val="hybridMultilevel"/>
    <w:tmpl w:val="B622C4B2"/>
    <w:lvl w:ilvl="0" w:tplc="65061B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F58D6"/>
    <w:multiLevelType w:val="hybridMultilevel"/>
    <w:tmpl w:val="7F4046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02C6A"/>
    <w:multiLevelType w:val="hybridMultilevel"/>
    <w:tmpl w:val="5A18DD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46B70"/>
    <w:multiLevelType w:val="hybridMultilevel"/>
    <w:tmpl w:val="CDC80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094D67"/>
    <w:multiLevelType w:val="hybridMultilevel"/>
    <w:tmpl w:val="6F0ED9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B1EF4"/>
    <w:multiLevelType w:val="hybridMultilevel"/>
    <w:tmpl w:val="82103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A7EE8"/>
    <w:multiLevelType w:val="hybridMultilevel"/>
    <w:tmpl w:val="BE9C0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4E66C0"/>
    <w:multiLevelType w:val="hybridMultilevel"/>
    <w:tmpl w:val="2F203C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F762A"/>
    <w:multiLevelType w:val="hybridMultilevel"/>
    <w:tmpl w:val="EF4486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025276"/>
    <w:multiLevelType w:val="hybridMultilevel"/>
    <w:tmpl w:val="A516C4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26"/>
  </w:num>
  <w:num w:numId="5">
    <w:abstractNumId w:val="33"/>
  </w:num>
  <w:num w:numId="6">
    <w:abstractNumId w:val="23"/>
  </w:num>
  <w:num w:numId="7">
    <w:abstractNumId w:val="31"/>
  </w:num>
  <w:num w:numId="8">
    <w:abstractNumId w:val="20"/>
  </w:num>
  <w:num w:numId="9">
    <w:abstractNumId w:val="43"/>
  </w:num>
  <w:num w:numId="10">
    <w:abstractNumId w:val="9"/>
  </w:num>
  <w:num w:numId="11">
    <w:abstractNumId w:val="18"/>
  </w:num>
  <w:num w:numId="12">
    <w:abstractNumId w:val="7"/>
  </w:num>
  <w:num w:numId="13">
    <w:abstractNumId w:val="16"/>
  </w:num>
  <w:num w:numId="14">
    <w:abstractNumId w:val="0"/>
  </w:num>
  <w:num w:numId="15">
    <w:abstractNumId w:val="42"/>
  </w:num>
  <w:num w:numId="16">
    <w:abstractNumId w:val="34"/>
  </w:num>
  <w:num w:numId="17">
    <w:abstractNumId w:val="17"/>
  </w:num>
  <w:num w:numId="18">
    <w:abstractNumId w:val="4"/>
  </w:num>
  <w:num w:numId="19">
    <w:abstractNumId w:val="38"/>
  </w:num>
  <w:num w:numId="20">
    <w:abstractNumId w:val="30"/>
  </w:num>
  <w:num w:numId="21">
    <w:abstractNumId w:val="46"/>
  </w:num>
  <w:num w:numId="22">
    <w:abstractNumId w:val="22"/>
  </w:num>
  <w:num w:numId="23">
    <w:abstractNumId w:val="40"/>
  </w:num>
  <w:num w:numId="24">
    <w:abstractNumId w:val="28"/>
  </w:num>
  <w:num w:numId="25">
    <w:abstractNumId w:val="10"/>
  </w:num>
  <w:num w:numId="26">
    <w:abstractNumId w:val="5"/>
  </w:num>
  <w:num w:numId="27">
    <w:abstractNumId w:val="2"/>
  </w:num>
  <w:num w:numId="28">
    <w:abstractNumId w:val="37"/>
  </w:num>
  <w:num w:numId="29">
    <w:abstractNumId w:val="45"/>
  </w:num>
  <w:num w:numId="30">
    <w:abstractNumId w:val="25"/>
  </w:num>
  <w:num w:numId="31">
    <w:abstractNumId w:val="3"/>
  </w:num>
  <w:num w:numId="32">
    <w:abstractNumId w:val="15"/>
  </w:num>
  <w:num w:numId="33">
    <w:abstractNumId w:val="13"/>
  </w:num>
  <w:num w:numId="34">
    <w:abstractNumId w:val="1"/>
  </w:num>
  <w:num w:numId="35">
    <w:abstractNumId w:val="32"/>
  </w:num>
  <w:num w:numId="36">
    <w:abstractNumId w:val="44"/>
  </w:num>
  <w:num w:numId="37">
    <w:abstractNumId w:val="41"/>
  </w:num>
  <w:num w:numId="38">
    <w:abstractNumId w:val="6"/>
  </w:num>
  <w:num w:numId="39">
    <w:abstractNumId w:val="27"/>
  </w:num>
  <w:num w:numId="40">
    <w:abstractNumId w:val="36"/>
  </w:num>
  <w:num w:numId="41">
    <w:abstractNumId w:val="35"/>
  </w:num>
  <w:num w:numId="42">
    <w:abstractNumId w:val="14"/>
  </w:num>
  <w:num w:numId="43">
    <w:abstractNumId w:val="24"/>
  </w:num>
  <w:num w:numId="44">
    <w:abstractNumId w:val="19"/>
  </w:num>
  <w:num w:numId="45">
    <w:abstractNumId w:val="21"/>
  </w:num>
  <w:num w:numId="46">
    <w:abstractNumId w:val="3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B6"/>
    <w:rsid w:val="00797F22"/>
    <w:rsid w:val="008254B6"/>
    <w:rsid w:val="009D5710"/>
    <w:rsid w:val="00F6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25BC"/>
  <w15:chartTrackingRefBased/>
  <w15:docId w15:val="{8D578DB6-8D96-49B6-BC35-BBFBB2D4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1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1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1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8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Голикова-Смоляченко Алеся Николаевна</dc:creator>
  <cp:keywords/>
  <dc:description/>
  <cp:lastModifiedBy>Голикова-Смоляченко Алеся Николаевна</cp:lastModifiedBy>
  <cp:revision>2</cp:revision>
  <dcterms:created xsi:type="dcterms:W3CDTF">2024-03-20T12:27:00Z</dcterms:created>
  <dcterms:modified xsi:type="dcterms:W3CDTF">2024-03-20T12:40:00Z</dcterms:modified>
</cp:coreProperties>
</file>