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21CE4" w14:textId="77777777" w:rsidR="00EE7CA6" w:rsidRPr="00EE7CA6" w:rsidRDefault="002F554E" w:rsidP="00EE7CA6">
      <w:pPr>
        <w:shd w:val="clear" w:color="auto" w:fill="FFFFFF"/>
        <w:spacing w:before="100" w:beforeAutospacing="1" w:after="100" w:afterAutospacing="1" w:line="360" w:lineRule="atLeast"/>
        <w:jc w:val="center"/>
        <w:rPr>
          <w:rFonts w:ascii="Times New Roman" w:eastAsia="Times New Roman" w:hAnsi="Times New Roman" w:cs="Times New Roman"/>
          <w:b/>
          <w:bCs/>
          <w:color w:val="000000"/>
          <w:sz w:val="28"/>
          <w:szCs w:val="28"/>
          <w:lang w:eastAsia="ru-RU"/>
        </w:rPr>
      </w:pPr>
      <w:r w:rsidRPr="00EE7CA6">
        <w:rPr>
          <w:rFonts w:ascii="Times New Roman" w:eastAsia="Times New Roman" w:hAnsi="Times New Roman" w:cs="Times New Roman"/>
          <w:b/>
          <w:bCs/>
          <w:color w:val="000000"/>
          <w:sz w:val="28"/>
          <w:szCs w:val="28"/>
          <w:lang w:eastAsia="ru-RU"/>
        </w:rPr>
        <w:t xml:space="preserve">ПОРЯДОК ВЫПОЛНЕНИЯ МЕРОПРИЯТИЙ, СВЯЗАННЫХ С ОБЕСПЕЧЕНИЕМ КОММЕРЧЕСКОГО УЧЕТА ЭЛЕКТРИЧЕСКОЙ ЭНЕРГИИ (МОЩНОСТИ) НА РОЗНИЧНЫХ РЫНКАХ ЭЛЕКТРИЧЕСКОЙ ЭНЕРГИИ И (ИЛИ) ДЛЯ ОКАЗАНИЯ КОММУНАЛЬНЫХ УСЛУГ ПО ЭЛЕКТРОСНАБЖЕНИЮ. </w:t>
      </w:r>
    </w:p>
    <w:p w14:paraId="2401103C"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Сетевая организация, имеющая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его получения, в адрес следующих организаций (лиц):</w:t>
      </w:r>
    </w:p>
    <w:p w14:paraId="2A4590B0"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 </w:t>
      </w:r>
      <w:r w:rsidRPr="00EE7CA6">
        <w:rPr>
          <w:rFonts w:ascii="Times New Roman" w:hAnsi="Times New Roman" w:cs="Times New Roman"/>
          <w:i/>
          <w:sz w:val="24"/>
          <w:szCs w:val="24"/>
        </w:rPr>
        <w:t>гарантирующий поставщик</w:t>
      </w:r>
      <w:r w:rsidRPr="00EE7CA6">
        <w:rPr>
          <w:rFonts w:ascii="Times New Roman" w:hAnsi="Times New Roman" w:cs="Times New Roman"/>
          <w:sz w:val="24"/>
          <w:szCs w:val="24"/>
        </w:rPr>
        <w:t xml:space="preserve">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 </w:t>
      </w:r>
    </w:p>
    <w:p w14:paraId="5650AB97" w14:textId="57D89128"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w:t>
      </w:r>
      <w:r w:rsidRPr="00EE7CA6">
        <w:rPr>
          <w:rFonts w:ascii="Times New Roman" w:hAnsi="Times New Roman" w:cs="Times New Roman"/>
          <w:i/>
          <w:sz w:val="24"/>
          <w:szCs w:val="24"/>
        </w:rPr>
        <w:t>собственник</w:t>
      </w:r>
      <w:r w:rsidRPr="00EE7CA6">
        <w:rPr>
          <w:rFonts w:ascii="Times New Roman" w:hAnsi="Times New Roman" w:cs="Times New Roman"/>
          <w:sz w:val="24"/>
          <w:szCs w:val="24"/>
        </w:rPr>
        <w:t xml:space="preserve"> (владелец)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w:t>
      </w:r>
    </w:p>
    <w:p w14:paraId="1C425D34"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В таком запросе на установку (замену) прибора учета должны быть указаны: </w:t>
      </w:r>
    </w:p>
    <w:p w14:paraId="126B8021"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w:t>
      </w:r>
    </w:p>
    <w:p w14:paraId="623ADFEB"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 место нахождения энергопринимающих устройств (объектов электроэнергетики), в отношении которых лицо, направившее запрос, имеет намерение установить или заменить прибор учета;</w:t>
      </w:r>
    </w:p>
    <w:p w14:paraId="19A7825B"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 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14:paraId="2BD2D3FA" w14:textId="521AD74A" w:rsidR="00EE7CA6" w:rsidRDefault="00EE7CA6" w:rsidP="00EE7CA6">
      <w:pPr>
        <w:shd w:val="clear" w:color="auto" w:fill="FFFFFF"/>
        <w:spacing w:after="0" w:line="360" w:lineRule="atLeast"/>
        <w:ind w:firstLine="567"/>
        <w:jc w:val="both"/>
        <w:rPr>
          <w:rFonts w:ascii="Times New Roman" w:hAnsi="Times New Roman" w:cs="Times New Roman"/>
          <w:sz w:val="24"/>
          <w:szCs w:val="24"/>
        </w:rPr>
      </w:pPr>
      <w:r>
        <w:rPr>
          <w:rFonts w:ascii="Times New Roman" w:hAnsi="Times New Roman" w:cs="Times New Roman"/>
          <w:sz w:val="24"/>
          <w:szCs w:val="24"/>
        </w:rPr>
        <w:t>-</w:t>
      </w:r>
      <w:r w:rsidR="002F554E" w:rsidRPr="00EE7CA6">
        <w:rPr>
          <w:rFonts w:ascii="Times New Roman" w:hAnsi="Times New Roman" w:cs="Times New Roman"/>
          <w:sz w:val="24"/>
          <w:szCs w:val="24"/>
        </w:rPr>
        <w:t xml:space="preserve"> информация о приборе учета и (или) об ином оборудовании, которые предполагается установить и заменить; </w:t>
      </w:r>
    </w:p>
    <w:p w14:paraId="331D14CD"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предполагаемые дата и время совершения действий по установке и допуску в эксплуатацию приборов учета (при необходимости допуска в эксплуатацию);</w:t>
      </w:r>
    </w:p>
    <w:p w14:paraId="74320F43"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 обязанность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по обеспечению допуска сетевой организации к местам установки приборов учета, а также последствия недопуска, предусмотренные настоящим разделом; </w:t>
      </w:r>
    </w:p>
    <w:p w14:paraId="0235F614"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информация о действиях, которые в соответствии с настоящим пунктом такая сетевая организация вправе предпринять в случае, если им будет отказано в доступе к месту установки приборов учета (если запрос направляется соответствующими организациями). </w:t>
      </w:r>
    </w:p>
    <w:p w14:paraId="6389C092"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течение 10 рабочих дней со дня получения запроса об установке (о замене) прибора учета электрической энергии обязаны либо подтвердить предложенные дату и время допуска к </w:t>
      </w:r>
      <w:r w:rsidRPr="00EE7CA6">
        <w:rPr>
          <w:rFonts w:ascii="Times New Roman" w:hAnsi="Times New Roman" w:cs="Times New Roman"/>
          <w:sz w:val="24"/>
          <w:szCs w:val="24"/>
        </w:rPr>
        <w:lastRenderedPageBreak/>
        <w:t xml:space="preserve">местам установки приборов учета для совершения действий по установке (замене) и допуску в эксплуатацию приборов учета либо согласовать иные дату и (или) время. </w:t>
      </w:r>
    </w:p>
    <w:p w14:paraId="4385C7A7"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границах объектов электроэнергетики (энергопринимающих устройств) которого предложены места установки прибора учета, вправе отказать в установке прибора учета при отсутствии технической возможности установки прибора учета в месте, указанном в запросе на установку (замену) прибора учета. При этом, если таким собственником (владельцем) объектов электросетевого хозяйства является сетевая организация, она обязана указать в своем отказе возможные места установки прибора учета. </w:t>
      </w:r>
    </w:p>
    <w:p w14:paraId="7B7E924C"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В подтвержденные дату и время сетевая организация, гарантирующий поставщик осуществляют действия по установке (замене) прибора учета. </w:t>
      </w:r>
    </w:p>
    <w:p w14:paraId="66916591"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При </w:t>
      </w:r>
      <w:proofErr w:type="spellStart"/>
      <w:r w:rsidRPr="00EE7CA6">
        <w:rPr>
          <w:rFonts w:ascii="Times New Roman" w:hAnsi="Times New Roman" w:cs="Times New Roman"/>
          <w:sz w:val="24"/>
          <w:szCs w:val="24"/>
        </w:rPr>
        <w:t>ненаправлении</w:t>
      </w:r>
      <w:proofErr w:type="spellEnd"/>
      <w:r w:rsidRPr="00EE7CA6">
        <w:rPr>
          <w:rFonts w:ascii="Times New Roman" w:hAnsi="Times New Roman" w:cs="Times New Roman"/>
          <w:sz w:val="24"/>
          <w:szCs w:val="24"/>
        </w:rPr>
        <w:t xml:space="preserve"> собственником (владельцем) энергопринимающих устройств сетевой организации (гарантирующему поставщику) в установленный срок ответа на запрос на установку (замену) прибора учета, при получении ответа об отказе в установке прибора учета или при двукратном недопуске к месту установки прибора учета, но не ранее 4 месяцев с момента первого недопуска, прибор учета подлежит установке в ином месте, максимально приближенном к границе балансовой принадлежности, с уведомлением лиц, которым направлялся запрос на установку (замену) прибора учета, о смене места установки с указанием адреса такого места иных лиц, которые в соответствии с настоящим пунктом принимают участие в процедуре допуска прибора учета в эксплуатацию.</w:t>
      </w:r>
    </w:p>
    <w:p w14:paraId="4047CC42"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Ответственность сетевой организации за неисполнение или ненадлежащее исполнение обязанностей по установке, замене и допуску в эксплуатацию прибора учета не возникает в случае, если причиной неисполнения таких обязанностей стал недопуск к местам установки расчетных приборов учета, в то время как техническая возможность установки прибора учета в ином месте, максимально приближенном к границе балансовой принадлежности, отсутствует.</w:t>
      </w:r>
    </w:p>
    <w:p w14:paraId="7D759B41"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Сетевые организации осуществляют допуск в эксплуатацию приборов учета, которые установлены для обеспечения коммерческого учета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с приглашением иных лиц, перечисленных выше. </w:t>
      </w:r>
    </w:p>
    <w:p w14:paraId="4AFACE6A"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Допуск в эксплуатацию прибора учета осуществляется при участии уполномоченных представителей лиц, которым направлялся запрос на установку (замену) прибора учета или приглашение для участия в процедуре допуска.</w:t>
      </w:r>
    </w:p>
    <w:p w14:paraId="75D87674"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По окончании допуска в эксплуатацию прибора учета в местах и способом, которые определены в соответствии с законодательством Российской Федерации об обеспечении </w:t>
      </w:r>
      <w:r w:rsidRPr="00EE7CA6">
        <w:rPr>
          <w:rFonts w:ascii="Times New Roman" w:hAnsi="Times New Roman" w:cs="Times New Roman"/>
          <w:sz w:val="24"/>
          <w:szCs w:val="24"/>
        </w:rPr>
        <w:lastRenderedPageBreak/>
        <w:t xml:space="preserve">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 </w:t>
      </w:r>
    </w:p>
    <w:p w14:paraId="58605AAD"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Контрольная пломба и (или) знаки визуального контроля устанавливаются организацией, осуществляющей допуск в эксплуатацию прибора учета. </w:t>
      </w:r>
    </w:p>
    <w:p w14:paraId="68464C40" w14:textId="77777777" w:rsidR="00EE7CA6"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Процедура установки и допуска прибора учета в эксплуатацию заканчивается составлением акта допуска прибора учета электрической энергии в эксплуатацию по форме, предусмотренной приложением № 16 к Правилам технологического присоединения. </w:t>
      </w:r>
    </w:p>
    <w:p w14:paraId="5FCC869E"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Акт допуска прибора учета электрической энергии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которые приняли участие в процедуре допуска прибора учета в эксплуатацию.</w:t>
      </w:r>
      <w:r w:rsidR="00EE7CA6">
        <w:rPr>
          <w:rFonts w:ascii="Times New Roman" w:hAnsi="Times New Roman" w:cs="Times New Roman"/>
          <w:sz w:val="24"/>
          <w:szCs w:val="24"/>
        </w:rPr>
        <w:t xml:space="preserve"> </w:t>
      </w:r>
      <w:r w:rsidRPr="00EE7CA6">
        <w:rPr>
          <w:rFonts w:ascii="Times New Roman" w:hAnsi="Times New Roman" w:cs="Times New Roman"/>
          <w:sz w:val="24"/>
          <w:szCs w:val="24"/>
        </w:rPr>
        <w:t xml:space="preserve">При отказе уполномоченного представителя приглашенного лица от подписания составленного акта в нем делается соответствующая отметка.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 </w:t>
      </w:r>
    </w:p>
    <w:p w14:paraId="14B16DC8"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В случае неявки для участия в процедуре допуска прибора учета в эксплуатацию лиц и (или) их представителей из числа тех, кому направлялся запрос на установку (замену) прибора учета или приглашение для участия в процедуре допуска прибора учета в эксплуатацию, такая процедура проводится без их участия.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не явившимся для участия в процедуре допуска прибора учета в эксплуатацию. </w:t>
      </w:r>
    </w:p>
    <w:p w14:paraId="2BC915AC"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По всем приборам учета электрической энергии, допускаемым (вводимым) в эксплуатацию с 1 января 2022 г.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в соответствии с требованиями Федерального закона "Об электроэнергетике", сетевая организация (владелец интеллектуальной системы учета) обеспечивает безвозмездное предоставление возможности использования функций интеллектуальной системы учета в порядке, установленном Правилами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РФ от 19.06.2020 г. №</w:t>
      </w:r>
      <w:r w:rsidR="00D44F3A">
        <w:rPr>
          <w:rFonts w:ascii="Times New Roman" w:hAnsi="Times New Roman" w:cs="Times New Roman"/>
          <w:sz w:val="24"/>
          <w:szCs w:val="24"/>
        </w:rPr>
        <w:t> </w:t>
      </w:r>
      <w:r w:rsidRPr="00EE7CA6">
        <w:rPr>
          <w:rFonts w:ascii="Times New Roman" w:hAnsi="Times New Roman" w:cs="Times New Roman"/>
          <w:sz w:val="24"/>
          <w:szCs w:val="24"/>
        </w:rPr>
        <w:t xml:space="preserve">890, субъектам электроэнергетики и потребителям электрической энергии, в отношении которых они обеспечивают коммерческий учет электрической энергии (пользователь интеллектуальной системы учета). </w:t>
      </w:r>
    </w:p>
    <w:p w14:paraId="30BD52EF"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Предоставление пользователю интеллектуальной системы учета доступа к функциям интеллектуальных систем учета в отношении прибора учета электрической энергии должно быть обеспечено с момента присоединения соответствующего прибора учета электрической энергии к интеллектуальной системе учета соответствующего гарантирующего поставщика или сетевой организации. </w:t>
      </w:r>
    </w:p>
    <w:p w14:paraId="6DD208D5"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lastRenderedPageBreak/>
        <w:t xml:space="preserve">Предоставление доступа к функциям интеллектуальных систем учета должно быть обеспечено в объеме, необходимом для реализации прав и обязанностей пользователей интеллектуальной системы учета, предусмотренных законодательством Российской Федерации, в том числе путем разграничения прав доступа пользователей интеллектуальной системы учета к функциям интеллектуальных систем учета. </w:t>
      </w:r>
    </w:p>
    <w:p w14:paraId="64554D42"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В интеллектуальной системе учета для пользователей интеллектуальной системы учета должны быть реализованы следующие функции: </w:t>
      </w:r>
    </w:p>
    <w:p w14:paraId="0BC7229F"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D44F3A">
        <w:rPr>
          <w:rFonts w:ascii="Times New Roman" w:hAnsi="Times New Roman" w:cs="Times New Roman"/>
          <w:b/>
          <w:sz w:val="24"/>
          <w:szCs w:val="24"/>
        </w:rPr>
        <w:t>а) передача показаний и результатов измерений прибора учета электрической энергии, присоединенного к интеллектуальной системе учета</w:t>
      </w:r>
      <w:r w:rsidRPr="00EE7CA6">
        <w:rPr>
          <w:rFonts w:ascii="Times New Roman" w:hAnsi="Times New Roman" w:cs="Times New Roman"/>
          <w:sz w:val="24"/>
          <w:szCs w:val="24"/>
        </w:rPr>
        <w:t xml:space="preserve">; </w:t>
      </w:r>
    </w:p>
    <w:p w14:paraId="02F8A86F"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D44F3A">
        <w:rPr>
          <w:rFonts w:ascii="Times New Roman" w:hAnsi="Times New Roman" w:cs="Times New Roman"/>
          <w:i/>
          <w:sz w:val="24"/>
          <w:szCs w:val="24"/>
        </w:rPr>
        <w:t>В состав передаваемых показаний и результатов измерений прибора учета электрической энергии, присоединенного к интеллектуальной системе учета, входят все показания и результаты измерений прибора учета электрической энергии, которые были использованы для формирования предоставляемой в соответствии с настоящими Правилами информации о количестве и иных параметрах электрической энергии.</w:t>
      </w:r>
      <w:r w:rsidRPr="00EE7CA6">
        <w:rPr>
          <w:rFonts w:ascii="Times New Roman" w:hAnsi="Times New Roman" w:cs="Times New Roman"/>
          <w:sz w:val="24"/>
          <w:szCs w:val="24"/>
        </w:rPr>
        <w:t xml:space="preserve"> </w:t>
      </w:r>
    </w:p>
    <w:p w14:paraId="104DD7CE" w14:textId="77777777" w:rsidR="00D44F3A" w:rsidRDefault="002F554E" w:rsidP="00EE7CA6">
      <w:pPr>
        <w:shd w:val="clear" w:color="auto" w:fill="FFFFFF"/>
        <w:spacing w:after="0" w:line="360" w:lineRule="atLeast"/>
        <w:ind w:firstLine="567"/>
        <w:jc w:val="both"/>
        <w:rPr>
          <w:rFonts w:ascii="Times New Roman" w:hAnsi="Times New Roman" w:cs="Times New Roman"/>
          <w:sz w:val="24"/>
          <w:szCs w:val="24"/>
        </w:rPr>
      </w:pPr>
      <w:r w:rsidRPr="00D44F3A">
        <w:rPr>
          <w:rFonts w:ascii="Times New Roman" w:hAnsi="Times New Roman" w:cs="Times New Roman"/>
          <w:b/>
          <w:sz w:val="24"/>
          <w:szCs w:val="24"/>
        </w:rPr>
        <w:t>б) предоставление информации о количестве и иных параметрах электрической энергии;</w:t>
      </w:r>
      <w:r w:rsidRPr="00EE7CA6">
        <w:rPr>
          <w:rFonts w:ascii="Times New Roman" w:hAnsi="Times New Roman" w:cs="Times New Roman"/>
          <w:sz w:val="24"/>
          <w:szCs w:val="24"/>
        </w:rPr>
        <w:t xml:space="preserve"> </w:t>
      </w:r>
    </w:p>
    <w:p w14:paraId="220F699B" w14:textId="77777777" w:rsid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В состав информации о количестве и иных параметрах электрической энергии входят:</w:t>
      </w:r>
    </w:p>
    <w:p w14:paraId="41C81D68"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E7CA6">
        <w:rPr>
          <w:rFonts w:ascii="Times New Roman" w:hAnsi="Times New Roman" w:cs="Times New Roman"/>
          <w:sz w:val="24"/>
          <w:szCs w:val="24"/>
        </w:rPr>
        <w:t xml:space="preserve"> </w:t>
      </w:r>
      <w:r w:rsidRPr="00D44F3A">
        <w:rPr>
          <w:rFonts w:ascii="Times New Roman" w:hAnsi="Times New Roman" w:cs="Times New Roman"/>
          <w:i/>
          <w:sz w:val="24"/>
          <w:szCs w:val="24"/>
        </w:rPr>
        <w:t xml:space="preserve">- объем принятой и отданной электрической энергии, учтенный по точке поставки, в том числе по тарифным зонам и в случаях, предусмотренных настоящими Правилами, в почасовой или получасовой разбивке; </w:t>
      </w:r>
    </w:p>
    <w:p w14:paraId="34E20D45"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объем принятой и отданной реактивной энергии, учтенный по точке поставки, в том числе по тарифным зонам; </w:t>
      </w:r>
    </w:p>
    <w:p w14:paraId="7D4A780C"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w:t>
      </w:r>
    </w:p>
    <w:p w14:paraId="04C38F83"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 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период; </w:t>
      </w:r>
    </w:p>
    <w:p w14:paraId="133112D7"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значения максимальной и минимальной фактической активной, реактивной и полной мощности по точке поставки;</w:t>
      </w:r>
    </w:p>
    <w:p w14:paraId="6049F9BD"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 информация о величине резервируемой максимальной мощности;</w:t>
      </w:r>
    </w:p>
    <w:p w14:paraId="145293FE"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 величина потерь электрической энергии в объектах электросетевого хозяйства на участке сети от физического места установки прибора учета (точки учета) до точки поставки; </w:t>
      </w:r>
    </w:p>
    <w:p w14:paraId="1FFCA180"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информация о нарушении индивидуальных параметров качества электроснабжения по точке учета; </w:t>
      </w:r>
    </w:p>
    <w:p w14:paraId="710E06DC"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E7CA6">
        <w:rPr>
          <w:rFonts w:ascii="Times New Roman" w:hAnsi="Times New Roman" w:cs="Times New Roman"/>
          <w:sz w:val="24"/>
          <w:szCs w:val="24"/>
        </w:rPr>
        <w:lastRenderedPageBreak/>
        <w:t xml:space="preserve">- </w:t>
      </w:r>
      <w:r w:rsidRPr="00D44F3A">
        <w:rPr>
          <w:rFonts w:ascii="Times New Roman" w:hAnsi="Times New Roman" w:cs="Times New Roman"/>
          <w:i/>
          <w:sz w:val="24"/>
          <w:szCs w:val="24"/>
        </w:rPr>
        <w:t xml:space="preserve">алгоритм определения объема принятой и отданной электрической энергии по точке поставки на основании результатов измерений приборов учета. </w:t>
      </w:r>
    </w:p>
    <w:p w14:paraId="6402E272"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D44F3A">
        <w:rPr>
          <w:rFonts w:ascii="Times New Roman" w:hAnsi="Times New Roman" w:cs="Times New Roman"/>
          <w:b/>
          <w:sz w:val="24"/>
          <w:szCs w:val="24"/>
        </w:rPr>
        <w:t xml:space="preserve">в) полное и (или) частичное ограничение режима потребления электрической энергии (приостановление или ограничение предоставления коммунальной услуги), а также возобновление подачи электрической энергии; </w:t>
      </w:r>
    </w:p>
    <w:p w14:paraId="2CCCE5EE"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Реализация функции полного и (или) частичного ограничения режима потребления электрической энергии (приостановление или ограничение предоставления коммунальной услуги), а также возобновления подачи электрической энергии осуществляется в отношении точек поставки, оснащенных приборами учета электрической энергии, присоединенными к интеллектуальной системе учета, имеющих техническую возможность в соответствии с Правилами предоставления доступа к минимальному набору функций интеллектуальных систем учета, и должна обеспечивать соблюдение порядка, предусмотренного Правилами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 442, Правилами предоставления коммунальных услуг собственникам и пользователям помещений в многоквартирных домах и жилых домов. </w:t>
      </w:r>
    </w:p>
    <w:p w14:paraId="7C9FF860"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D44F3A">
        <w:rPr>
          <w:rFonts w:ascii="Times New Roman" w:hAnsi="Times New Roman" w:cs="Times New Roman"/>
          <w:b/>
          <w:sz w:val="24"/>
          <w:szCs w:val="24"/>
        </w:rPr>
        <w:t xml:space="preserve">г) установление и изменение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соответствии с дифференциацией тарифов (цен), предусмотренной законодательством Российской Федерации (тарифные зоны); </w:t>
      </w:r>
    </w:p>
    <w:p w14:paraId="7D3344F1"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Реализация функции установления и изменения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случаях и порядке, которые предусмотрены Основными положениями функционирования розничных рынков электрической энергии и (или) Правилами предоставления коммунальных услуг собственникам и пользователям помещений в многоквартирных домах и жилых домов, должна обеспечивать удаленное изменение тарифных зон в приборе учета электрической энергии, присоединенном к интеллектуальной системе учета. Дополнительно для гарантирующего поставщика (энергосбытовой организации) должна обеспечиваться возможность отнесения точек поставки обслуживаемых им потребителей электрической энергии, осуществивших выбор дифференцированного тарифа, к соответствующим тарифным зонам. </w:t>
      </w:r>
    </w:p>
    <w:p w14:paraId="2892CD23"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D44F3A">
        <w:rPr>
          <w:rFonts w:ascii="Times New Roman" w:hAnsi="Times New Roman" w:cs="Times New Roman"/>
          <w:b/>
          <w:sz w:val="24"/>
          <w:szCs w:val="24"/>
        </w:rPr>
        <w:t>д) передача данных о параметрах настройки и событиях, зафиксированных прибором учета электрической энергии, присоединенным к интеллектуальной системе учета;</w:t>
      </w:r>
    </w:p>
    <w:p w14:paraId="4B269CB4"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В состав данных о параметрах настройки и событиях, зафиксированных и хранимых прибором учета электрической энергии, входят данные: </w:t>
      </w:r>
    </w:p>
    <w:p w14:paraId="49951E02"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об изменении параметров настройки прибора учета электрической энергии; </w:t>
      </w:r>
    </w:p>
    <w:p w14:paraId="2362F5DB"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lastRenderedPageBreak/>
        <w:t xml:space="preserve">- о коррекции времени прибора учета электрической энергии; </w:t>
      </w:r>
    </w:p>
    <w:p w14:paraId="62866F4C"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о сбое, перерыве питания, работе от резервного (внутреннего) источника питания прибора учета электрической энергии;</w:t>
      </w:r>
    </w:p>
    <w:p w14:paraId="7AC4C310"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 о включении (отключении) измерительных цепей прибора учета электрической энергии;</w:t>
      </w:r>
    </w:p>
    <w:p w14:paraId="5EAACF49"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 о нарушении в подключении токовых цепей прибора учета электрической энергии; </w:t>
      </w:r>
    </w:p>
    <w:p w14:paraId="5B2BDE46"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о выходе за заданные пределы значений параметров режима электрической сети по активной мощности, напряжению и частоте; </w:t>
      </w:r>
    </w:p>
    <w:p w14:paraId="04B62787"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 </w:t>
      </w:r>
    </w:p>
    <w:p w14:paraId="252BBF7F" w14:textId="77777777" w:rsidR="00D44F3A" w:rsidRPr="00D44F3A"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D44F3A">
        <w:rPr>
          <w:rFonts w:ascii="Times New Roman" w:hAnsi="Times New Roman" w:cs="Times New Roman"/>
          <w:i/>
          <w:sz w:val="24"/>
          <w:szCs w:val="24"/>
        </w:rPr>
        <w:t xml:space="preserve">- о сбросе измеряемых значений электрической энергии (мощности). Данные об изменении параметров настройки и о событиях, зафиксированных компонентами интеллектуальной системы учета и прибором учета электрической энергии, должны содержать дату и время возникновения соответствующих изменений и (или) событий и (или) их окончания. </w:t>
      </w:r>
    </w:p>
    <w:p w14:paraId="1D5DD5F8" w14:textId="33E64D2E" w:rsidR="00D44F3A" w:rsidRPr="00D44F3A"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D44F3A">
        <w:rPr>
          <w:rFonts w:ascii="Times New Roman" w:hAnsi="Times New Roman" w:cs="Times New Roman"/>
          <w:b/>
          <w:sz w:val="24"/>
          <w:szCs w:val="24"/>
        </w:rPr>
        <w:t>е) передача справочной информации;</w:t>
      </w:r>
    </w:p>
    <w:p w14:paraId="28059BFE" w14:textId="77777777" w:rsidR="00D44F3A"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 В состав справочной информации входит следующая информация в отношении точки поставки (точки учета): </w:t>
      </w:r>
    </w:p>
    <w:p w14:paraId="3E9810ED" w14:textId="77777777" w:rsidR="00D44F3A"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 уникальный идентификатор точки поставки в соответствии с методикой и порядком кодификации точек поставки (точек учета), устанавливаемыми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w:t>
      </w:r>
    </w:p>
    <w:p w14:paraId="0115F543" w14:textId="77777777" w:rsidR="00D44F3A"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 сведения о пользователях интеллектуальной системы учета по соответствующей точке поставки (точке учета): </w:t>
      </w:r>
    </w:p>
    <w:p w14:paraId="22739EA7"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для юридических лиц - полное наименование, номер записи в Едином государственном реестре юридических лиц и дата ее внесения в реестр; </w:t>
      </w:r>
    </w:p>
    <w:p w14:paraId="5FB5703C"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для индивидуальных предпринимателей - номер записи в Едином государственном реестре индивидуальных предпринимателей и дата ее внесения в реестр; </w:t>
      </w:r>
    </w:p>
    <w:p w14:paraId="5D3C7AAE"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адрес энергопринимающего устройства; </w:t>
      </w:r>
    </w:p>
    <w:p w14:paraId="246993CC"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купли-продажи (поставки) электрической энергии (мощности), договора оказания услуг по передаче электрической энергии; (в ред. Постановления Правительства РФ от 30.12.2022 N 2554) </w:t>
      </w:r>
    </w:p>
    <w:p w14:paraId="1C427FA2"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w:t>
      </w:r>
      <w:r w:rsidRPr="00E566E4">
        <w:rPr>
          <w:rFonts w:ascii="Times New Roman" w:hAnsi="Times New Roman" w:cs="Times New Roman"/>
          <w:i/>
          <w:sz w:val="24"/>
          <w:szCs w:val="24"/>
        </w:rPr>
        <w:lastRenderedPageBreak/>
        <w:t xml:space="preserve">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 проверки, дата последнего снятия результатов измерений с прибора учета электрической энергии); </w:t>
      </w:r>
    </w:p>
    <w:p w14:paraId="7D078369"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электрической энергии и мощности,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устройств сбора и передачи данных (при наличии), устройств синхронизации времени (при наличии), дата их последней и следующей поверки);</w:t>
      </w:r>
    </w:p>
    <w:p w14:paraId="2BCD31FB"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 - характеристики объектов электросетевого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 </w:t>
      </w:r>
    </w:p>
    <w:p w14:paraId="67392FAC"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основания и порядок использования расчетных способов при определении объема потребления электрической энергии, установленные Правилами предоставления коммунальных услуг собственникам и пользователям помещений в многоквартирных домах и жилых домов и (или) Основными положениями функционирования розничных рынков электрической энергии.</w:t>
      </w:r>
    </w:p>
    <w:p w14:paraId="0CC4576D" w14:textId="77777777" w:rsidR="00E566E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 </w:t>
      </w:r>
      <w:r w:rsidRPr="00E566E4">
        <w:rPr>
          <w:rFonts w:ascii="Times New Roman" w:hAnsi="Times New Roman" w:cs="Times New Roman"/>
          <w:b/>
          <w:sz w:val="24"/>
          <w:szCs w:val="24"/>
        </w:rPr>
        <w:t>ж) передача архива данных</w:t>
      </w:r>
      <w:r w:rsidRPr="00EE7CA6">
        <w:rPr>
          <w:rFonts w:ascii="Times New Roman" w:hAnsi="Times New Roman" w:cs="Times New Roman"/>
          <w:sz w:val="24"/>
          <w:szCs w:val="24"/>
        </w:rPr>
        <w:t xml:space="preserve">; </w:t>
      </w:r>
    </w:p>
    <w:p w14:paraId="271041AE"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i/>
          <w:sz w:val="24"/>
          <w:szCs w:val="24"/>
        </w:rPr>
      </w:pPr>
      <w:r w:rsidRPr="00E566E4">
        <w:rPr>
          <w:rFonts w:ascii="Times New Roman" w:hAnsi="Times New Roman" w:cs="Times New Roman"/>
          <w:i/>
          <w:sz w:val="24"/>
          <w:szCs w:val="24"/>
        </w:rPr>
        <w:t xml:space="preserve">Период предоставления информации из архива данных интеллектуальной системы учета должен составлять не менее 3 лет, но не ранее даты присоединения прибора учета электрической энергии к интеллектуальной системе учета. </w:t>
      </w:r>
    </w:p>
    <w:p w14:paraId="67A2C31A"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E566E4">
        <w:rPr>
          <w:rFonts w:ascii="Times New Roman" w:hAnsi="Times New Roman" w:cs="Times New Roman"/>
          <w:b/>
          <w:sz w:val="24"/>
          <w:szCs w:val="24"/>
        </w:rPr>
        <w:t xml:space="preserve">з) оповещение о возможных недостоверных данных, поступающих с приборов учета в случае срабатывания индикаторов вскрытия электронных пломб на корпусе и клеммной крышке прибора учета, воздействия магнитным полем на элементы прибора учета, неработоспособности прибора учета вследствие аппаратного или программного сбоя, его отключения (после повторного включения), перезагрузки; </w:t>
      </w:r>
    </w:p>
    <w:p w14:paraId="040949E4" w14:textId="77777777" w:rsidR="00E566E4" w:rsidRPr="00E566E4"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EE7CA6">
        <w:rPr>
          <w:rFonts w:ascii="Times New Roman" w:hAnsi="Times New Roman" w:cs="Times New Roman"/>
          <w:sz w:val="24"/>
          <w:szCs w:val="24"/>
        </w:rPr>
        <w:t>и</w:t>
      </w:r>
      <w:r w:rsidRPr="00E566E4">
        <w:rPr>
          <w:rFonts w:ascii="Times New Roman" w:hAnsi="Times New Roman" w:cs="Times New Roman"/>
          <w:b/>
          <w:sz w:val="24"/>
          <w:szCs w:val="24"/>
        </w:rPr>
        <w:t xml:space="preserve">) формирование и экспорт отчета в виде электронного документа, а также автоматизированное подписание указанного отчета в момент его формирования усиленной квалифицированной электронной подписью владельца интеллектуальной системы учета, подтверждающей корректность сведений, содержащихся в интеллектуальной системе учета; </w:t>
      </w:r>
    </w:p>
    <w:p w14:paraId="771788D6" w14:textId="5CE97A65" w:rsidR="00E566E4" w:rsidRPr="00E566E4" w:rsidRDefault="002F554E" w:rsidP="00EE7CA6">
      <w:pPr>
        <w:shd w:val="clear" w:color="auto" w:fill="FFFFFF"/>
        <w:spacing w:after="0" w:line="360" w:lineRule="atLeast"/>
        <w:ind w:firstLine="567"/>
        <w:jc w:val="both"/>
        <w:rPr>
          <w:rFonts w:ascii="Times New Roman" w:hAnsi="Times New Roman" w:cs="Times New Roman"/>
          <w:b/>
          <w:sz w:val="24"/>
          <w:szCs w:val="24"/>
        </w:rPr>
      </w:pPr>
      <w:r w:rsidRPr="00E566E4">
        <w:rPr>
          <w:rFonts w:ascii="Times New Roman" w:hAnsi="Times New Roman" w:cs="Times New Roman"/>
          <w:b/>
          <w:sz w:val="24"/>
          <w:szCs w:val="24"/>
        </w:rPr>
        <w:t xml:space="preserve">к) формирование и экспорт не чаще одного раза в месяц по запросу, направляемому организациями коммерческой инфраструктуры профиля мощности в </w:t>
      </w:r>
      <w:r w:rsidRPr="00E566E4">
        <w:rPr>
          <w:rFonts w:ascii="Times New Roman" w:hAnsi="Times New Roman" w:cs="Times New Roman"/>
          <w:b/>
          <w:sz w:val="24"/>
          <w:szCs w:val="24"/>
        </w:rPr>
        <w:lastRenderedPageBreak/>
        <w:t xml:space="preserve">получасовой разбивке, полученного с прибора учета, определяющего объемы потребленной (произведенной) электрической энергии в отношении точек поставки розничного рынка, совпадающих с точками поставки, входящими в состав групп точек поставки на оптовом рынке электрической энергии и мощности. </w:t>
      </w:r>
    </w:p>
    <w:p w14:paraId="017DB9E6"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Информация в интеллектуальной системе учета о показаниях и результатах измерений приборов учета электрической энергии и информация о количестве и иных параметрах электрической энергии, предоставляемая пользователям интеллектуальной системы учета, должна обновляться в отношении точек поставки потребителей электрической энергии, относящихся к населению и приравненным к населению потребителям электрической энергии, а также потребителей электрической энергии - юридических лиц с максимальной мощностью энергопринимающих устройств до 150 кВт (включительно) по точкам поставки, не используемым при расчете обязательств по продаже и покупке электрической энергии (мощности) на оптовом рынке электрической энергии (мощности), не реже одного раза в неделю, а в отношении всех иных точек - не реже одного раза в сутки, если иной срок не установлен соглашением между владельцем интеллектуальной системы учета и ее пользователем. </w:t>
      </w:r>
    </w:p>
    <w:p w14:paraId="7FEF23CD"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Прибор учета электрической энергии, допущенный в эксплуатацию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должен быть присоединен к интеллектуальной системе учета владельцем интеллектуальной системы учета в следующем порядке: </w:t>
      </w:r>
    </w:p>
    <w:p w14:paraId="11E40930"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а) прибор учета электрической энергии, допущенный в эксплуатацию с 1 января 2022 г. по 28 февраля 2022 г., - не позднее 14 месяцев со дня его допуска (ввода) в эксплуатацию; </w:t>
      </w:r>
    </w:p>
    <w:p w14:paraId="06A93CE0"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б) прибор учета электрической энергии, допущенный в эксплуатацию с 1 марта 2022 г. по 30 апреля 2022 г., - не позднее 12 месяцев со дня его допуска (ввода) в эксплуатацию; </w:t>
      </w:r>
    </w:p>
    <w:p w14:paraId="4BBE7028"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в) прибор учета электрической энергии, допущенный в эксплуатацию с 1 мая 2022 г. по 30 июня 2022 г., - не позднее 10 месяцев со дня его допуска (ввода) в эксплуатацию; </w:t>
      </w:r>
    </w:p>
    <w:p w14:paraId="5F086CDF"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г) прибор учета электрической энергии, допущенный в эксплуатацию с 1 июля 2022 г. по 31 августа 2022 г., - не позднее 8 месяцев со дня его допуска (ввода) в эксплуатацию; </w:t>
      </w:r>
    </w:p>
    <w:p w14:paraId="43E2AC0E"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д) прибор учета электрической энергии, допущенный в эксплуатацию с 1 сентября 2022 г. по 31 октября 2022 г., - не позднее 6 месяцев со дня его допуска (ввода) в эксплуатацию; </w:t>
      </w:r>
    </w:p>
    <w:p w14:paraId="21A1CA38"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е) прибор учета электрической энергии, допущенный в эксплуатацию с 1 ноября 2022 г. по 31 декабря 2022 г., - не позднее 4 месяцев со дня его допуска (ввода) в эксплуатацию; </w:t>
      </w:r>
    </w:p>
    <w:p w14:paraId="276E50AA"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ж) прибор учета электрической энергии, допущенный в эксплуатацию после 1 января 2023 г., - не позднее 2 месяцев со дня его допуска (ввода) в эксплуатацию. </w:t>
      </w:r>
    </w:p>
    <w:p w14:paraId="3C5CD54B"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Приборы учета электрической энергии, устанавливаемые сетевой организацией, должны быть присоединены к интеллектуальной системе учета, владельцем которой является соответствующая сетевая организация. </w:t>
      </w:r>
    </w:p>
    <w:p w14:paraId="5E0B84EC"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lastRenderedPageBreak/>
        <w:t xml:space="preserve">Датой присоединения прибора учета электрической энергии к интеллектуальной системе учета является дата отправления владельцем интеллектуальной системы учета уведомления о таком факте всем пользователям интеллектуальной системы учета по соответствующему прибору учета электрической энергии. </w:t>
      </w:r>
    </w:p>
    <w:p w14:paraId="7B20CC1A" w14:textId="77777777" w:rsidR="00516494" w:rsidRDefault="002F554E" w:rsidP="00EE7CA6">
      <w:pPr>
        <w:shd w:val="clear" w:color="auto" w:fill="FFFFFF"/>
        <w:spacing w:after="0" w:line="360" w:lineRule="atLeast"/>
        <w:ind w:firstLine="567"/>
        <w:jc w:val="both"/>
        <w:rPr>
          <w:rFonts w:ascii="Times New Roman" w:hAnsi="Times New Roman" w:cs="Times New Roman"/>
          <w:sz w:val="24"/>
          <w:szCs w:val="24"/>
        </w:rPr>
      </w:pPr>
      <w:r w:rsidRPr="00EE7CA6">
        <w:rPr>
          <w:rFonts w:ascii="Times New Roman" w:hAnsi="Times New Roman" w:cs="Times New Roman"/>
          <w:sz w:val="24"/>
          <w:szCs w:val="24"/>
        </w:rPr>
        <w:t xml:space="preserve">Уведомление о присоединении прибора учета электрической энергии к интеллектуальной системе учета направляется владельцем интеллектуальной системы учета способом, позволяющим установить дату отправки уведомления. Потребитель электрической энергии уведомляется владельцем интеллектуальной системы учета о присоединении прибора учета электрической энергии к интеллектуальной системе учета способом, выбранным потребителем электрической энергии при допуске (вводе) прибора учета электрической энергии в эксплуатацию и указанным в акте допуска (ввода) прибора учета электрической энергии. </w:t>
      </w:r>
    </w:p>
    <w:p w14:paraId="1A519DDD" w14:textId="3442ED45" w:rsidR="002F554E" w:rsidRPr="00C5465D" w:rsidRDefault="002F554E" w:rsidP="00EE7CA6">
      <w:pPr>
        <w:shd w:val="clear" w:color="auto" w:fill="FFFFFF"/>
        <w:spacing w:after="0" w:line="360" w:lineRule="atLeast"/>
        <w:ind w:firstLine="567"/>
        <w:jc w:val="both"/>
        <w:rPr>
          <w:rFonts w:ascii="Times New Roman" w:eastAsia="Times New Roman" w:hAnsi="Times New Roman" w:cs="Times New Roman"/>
          <w:color w:val="000000"/>
          <w:sz w:val="28"/>
          <w:szCs w:val="28"/>
          <w:lang w:eastAsia="ru-RU"/>
        </w:rPr>
      </w:pPr>
      <w:r w:rsidRPr="00EE7CA6">
        <w:rPr>
          <w:rFonts w:ascii="Times New Roman" w:hAnsi="Times New Roman" w:cs="Times New Roman"/>
          <w:sz w:val="24"/>
          <w:szCs w:val="24"/>
        </w:rPr>
        <w:t>В уведомлении о присоединении прибора учета электрической энергии к интеллектуальной системе учета для потребителей электрической энергии, энергосбытовых организаций, производителей электрической энергии (мощности) и организаций, осуществляющих управление многоквартирными домами, указывается ссылка на сайт в информационно-телекоммуникационной сети "Интернет", по которой пользователь интеллектуальной системы учета может получить исчерпывающую информацию о порядке использования и перечне функций интеллектуальной системы</w:t>
      </w:r>
      <w:r w:rsidR="00EE7CA6" w:rsidRPr="00EE7CA6">
        <w:rPr>
          <w:rFonts w:ascii="Times New Roman" w:hAnsi="Times New Roman" w:cs="Times New Roman"/>
          <w:sz w:val="24"/>
          <w:szCs w:val="24"/>
        </w:rPr>
        <w:t xml:space="preserve"> учета</w:t>
      </w:r>
      <w:r w:rsidR="00516494">
        <w:rPr>
          <w:rFonts w:ascii="Times New Roman" w:hAnsi="Times New Roman" w:cs="Times New Roman"/>
          <w:sz w:val="24"/>
          <w:szCs w:val="24"/>
        </w:rPr>
        <w:t>.</w:t>
      </w:r>
      <w:bookmarkStart w:id="0" w:name="_GoBack"/>
      <w:bookmarkEnd w:id="0"/>
    </w:p>
    <w:sectPr w:rsidR="002F554E" w:rsidRPr="00C54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43BA4"/>
    <w:multiLevelType w:val="multilevel"/>
    <w:tmpl w:val="A190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37ED9"/>
    <w:multiLevelType w:val="multilevel"/>
    <w:tmpl w:val="457A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174E2"/>
    <w:multiLevelType w:val="multilevel"/>
    <w:tmpl w:val="A132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C7199"/>
    <w:multiLevelType w:val="multilevel"/>
    <w:tmpl w:val="8306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339B8"/>
    <w:multiLevelType w:val="multilevel"/>
    <w:tmpl w:val="1CA0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C3621"/>
    <w:multiLevelType w:val="multilevel"/>
    <w:tmpl w:val="85A4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724A7"/>
    <w:multiLevelType w:val="multilevel"/>
    <w:tmpl w:val="A2E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129F3"/>
    <w:multiLevelType w:val="multilevel"/>
    <w:tmpl w:val="0948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B423A"/>
    <w:multiLevelType w:val="multilevel"/>
    <w:tmpl w:val="FE60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2313A"/>
    <w:multiLevelType w:val="multilevel"/>
    <w:tmpl w:val="868E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4522A2"/>
    <w:multiLevelType w:val="multilevel"/>
    <w:tmpl w:val="A33A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357AB9"/>
    <w:multiLevelType w:val="multilevel"/>
    <w:tmpl w:val="97B2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63561"/>
    <w:multiLevelType w:val="multilevel"/>
    <w:tmpl w:val="F7A4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E36F3"/>
    <w:multiLevelType w:val="multilevel"/>
    <w:tmpl w:val="A7A6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C7CF6"/>
    <w:multiLevelType w:val="multilevel"/>
    <w:tmpl w:val="6D98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FE4ED7"/>
    <w:multiLevelType w:val="multilevel"/>
    <w:tmpl w:val="BEFC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81E3F"/>
    <w:multiLevelType w:val="multilevel"/>
    <w:tmpl w:val="1C9E1E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11"/>
  </w:num>
  <w:num w:numId="4">
    <w:abstractNumId w:val="7"/>
  </w:num>
  <w:num w:numId="5">
    <w:abstractNumId w:val="12"/>
  </w:num>
  <w:num w:numId="6">
    <w:abstractNumId w:val="6"/>
  </w:num>
  <w:num w:numId="7">
    <w:abstractNumId w:val="1"/>
  </w:num>
  <w:num w:numId="8">
    <w:abstractNumId w:val="10"/>
  </w:num>
  <w:num w:numId="9">
    <w:abstractNumId w:val="4"/>
  </w:num>
  <w:num w:numId="10">
    <w:abstractNumId w:val="14"/>
  </w:num>
  <w:num w:numId="11">
    <w:abstractNumId w:val="16"/>
  </w:num>
  <w:num w:numId="12">
    <w:abstractNumId w:val="2"/>
  </w:num>
  <w:num w:numId="13">
    <w:abstractNumId w:val="15"/>
  </w:num>
  <w:num w:numId="14">
    <w:abstractNumId w:val="5"/>
  </w:num>
  <w:num w:numId="15">
    <w:abstractNumId w:val="13"/>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16"/>
    <w:rsid w:val="00047816"/>
    <w:rsid w:val="00232503"/>
    <w:rsid w:val="002F554E"/>
    <w:rsid w:val="00516494"/>
    <w:rsid w:val="005B4C69"/>
    <w:rsid w:val="00B43E67"/>
    <w:rsid w:val="00C5465D"/>
    <w:rsid w:val="00D44F3A"/>
    <w:rsid w:val="00E566E4"/>
    <w:rsid w:val="00EB0188"/>
    <w:rsid w:val="00EE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F45"/>
  <w15:chartTrackingRefBased/>
  <w15:docId w15:val="{EDC10D69-2F68-419E-A55D-CCD359E7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center">
    <w:name w:val="text-center"/>
    <w:basedOn w:val="a"/>
    <w:rsid w:val="00C54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5465D"/>
    <w:rPr>
      <w:b/>
      <w:bCs/>
    </w:rPr>
  </w:style>
  <w:style w:type="paragraph" w:styleId="a4">
    <w:name w:val="Normal (Web)"/>
    <w:basedOn w:val="a"/>
    <w:uiPriority w:val="99"/>
    <w:semiHidden/>
    <w:unhideWhenUsed/>
    <w:rsid w:val="00C546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69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3571</Words>
  <Characters>20360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Голикова-Смоляченко Алеся Николаевна</dc:creator>
  <cp:keywords/>
  <dc:description/>
  <cp:lastModifiedBy>Голикова-Смоляченко Алеся Николаевна</cp:lastModifiedBy>
  <cp:revision>4</cp:revision>
  <dcterms:created xsi:type="dcterms:W3CDTF">2024-03-28T07:55:00Z</dcterms:created>
  <dcterms:modified xsi:type="dcterms:W3CDTF">2024-03-28T09:15:00Z</dcterms:modified>
</cp:coreProperties>
</file>